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  <w:color w:val="0b539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rtl w:val="0"/>
        </w:rPr>
        <w:t xml:space="preserve">The “HOW TO” Steps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#10- Being a chair is a GREAT leadership opportunity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It is a big job, but it’s not meant to overwhelm you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Remember who you’re serving- NACADA and NACADA is excited to have you in this position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Feel good about being selected to serve in this role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#9- NACADA has a ton of ways to support you in your leadership position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Online meetings using Zoom, NACADA website, conference calls, key people answer emails at all times of the day, Steering Committee Members, Facebook and other social media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NACADA even has a YouTube video for Zoom (see the resources below). NACADA makes it super easy to learn new platforms and ways to reach your group 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#8- Seek out volunteers within your community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Seek out those who may like some leadership experience- we can all benefit from it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Volunteering is great for professional growth, NACADA networking and personal fun and contribution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#7- Swag works wonders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Especially at the ACD fair and meetings- you might give away candy, handouts, or even small giveaways personalized for your group</w:t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#6- Sometimes there might be a select number of active members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 matter how hard we try to get others involved, you may have only a few active volunteers and that’s ok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It’s great to recruit future NACADA leaders, but understand that some may have more of an interest at the conference than when back at their home institution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Some groups are smaller and their support or steering group might be only a few people- that’s ok</w:t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#5- Set realistic, measurable goals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Understand that your everyday job back home will keep you busy.  We all wear many hats, so be realistic with the goals you set.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Don’t bite off more than you can chew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Take a look at other groups reports (available in resources below) to get a sense of what might be doable in a year  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#4: Be creative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Pick a theme for your poster or your meeting -- Who doesn’t love a theme?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Need help or examples?  Many ACs post pics of their fair posters and you can get great ideas from what other groups have done. 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Its ok to “steal” from another AC </w:t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#3- Getting into your groove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It may take a year to get into your groove as a chair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Understand there is a learning curve- and every year is a learning year!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Reach out to other ACD chairs and your Cluster Rep for support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Network with other group chairs to get ideas as well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#2- Make this chair role your own!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It’s up to you to make it what you want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This is a great opportunity to make a difference in advisors and students’ lives with your specific advising population and/or interest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Create the role and contribution you want in this advising area!</w:t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#1- Have fun!!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Enjoy this leadership opportunity and think about ways to stay involved with NACADA once your term concludes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NACADA is a great organization with many knowledgeable and fun members who want to see you succeed </w:t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color w:val="0b539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980000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color w:val="0b5394"/>
          <w:rtl w:val="0"/>
        </w:rPr>
        <w:t xml:space="preserve">Links to Resources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right="440" w:hanging="360"/>
        <w:rPr>
          <w:rFonts w:ascii="Open Sans" w:cs="Open Sans" w:eastAsia="Open Sans" w:hAnsi="Open Sans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How to host a Zoom Meeting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right="440" w:hanging="360"/>
        <w:rPr>
          <w:rFonts w:ascii="Open Sans" w:cs="Open Sans" w:eastAsia="Open Sans" w:hAnsi="Open Sans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Advising Community Division Reports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(prior years/samples)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right="440" w:hanging="360"/>
        <w:rPr>
          <w:rFonts w:ascii="Open Sans" w:cs="Open Sans" w:eastAsia="Open Sans" w:hAnsi="Open Sans"/>
        </w:rPr>
      </w:pP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ACD Leader Resources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  <w:color w:val="0b539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b5394"/>
          <w:rtl w:val="0"/>
        </w:rPr>
        <w:t xml:space="preserve">AC</w:t>
      </w:r>
      <w:r w:rsidDel="00000000" w:rsidR="00000000" w:rsidRPr="00000000">
        <w:rPr>
          <w:rFonts w:ascii="Open Sans" w:cs="Open Sans" w:eastAsia="Open Sans" w:hAnsi="Open Sans"/>
          <w:b w:val="1"/>
          <w:color w:val="0b5394"/>
          <w:rtl w:val="0"/>
        </w:rPr>
        <w:t xml:space="preserve"> Division Best Practice Developed By</w:t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Ross Hawkins and Rebecca Cofer, NACADA Steering Committee Members, 2015.</w:t>
      </w:r>
    </w:p>
    <w:p w:rsidR="00000000" w:rsidDel="00000000" w:rsidP="00000000" w:rsidRDefault="00000000" w:rsidRPr="00000000" w14:paraId="0000002E">
      <w:pPr>
        <w:spacing w:after="160" w:before="240" w:lineRule="auto"/>
        <w:ind w:left="450" w:right="44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Hawkins, R. &amp; Cofer, R. (2015, October 14). Top ten things to know about being a CIG Division Chair.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NACADA CIG Division Suggested Practices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. Retrieved from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https://docs.google.com/document/d/1M69LHLXcCKIB3hX5_RIEXKy7syuxxTA15Hoe8dJ1qVM/edit?usp=sharing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before="240" w:lineRule="auto"/>
        <w:ind w:left="450" w:right="44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M69LHLXcCKIB3hX5_RIEXKy7syuxxTA15Hoe8dJ1qVM/edit?usp=sharing" TargetMode="External"/><Relationship Id="rId9" Type="http://schemas.openxmlformats.org/officeDocument/2006/relationships/hyperlink" Target="https://www.nacada.ksu.edu/About-Us/NACADA-Leadership/Advising-Communities-Division/ACD-Leader-Resources.asp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i3WdCb7hvjCO3-5kcz67LO8Lqa7nYWQxxDd8cidqfXY/edit?usp=sharing" TargetMode="External"/><Relationship Id="rId8" Type="http://schemas.openxmlformats.org/officeDocument/2006/relationships/hyperlink" Target="https://www.nacada.ksu.edu/About-Us/NACADA-Leadership/Advising-Communities-Division/Individual-ACD-Reports.asp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